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jpg" ContentType="image/jpeg"/>
  <Override PartName="/word/media/rId39.png" ContentType="image/png"/>
  <Override PartName="/word/media/rId36.png" ContentType="image/png"/>
  <Override PartName="/word/media/rId32.png" ContentType="image/png"/>
  <Override PartName="/word/media/rId82.png" ContentType="image/png"/>
  <Override PartName="/word/media/rId120.png" ContentType="image/png"/>
  <Override PartName="/word/media/rId121.png" ContentType="image/png"/>
  <Override PartName="/word/media/rId118.png" ContentType="image/png"/>
  <Override PartName="/word/media/rId119.png" ContentType="image/png"/>
  <Override PartName="/word/media/rId66.png" ContentType="image/png"/>
  <Override PartName="/word/media/rId61.png" ContentType="image/png"/>
  <Override PartName="/word/media/rId62.png" ContentType="image/png"/>
  <Override PartName="/word/media/rId111.png" ContentType="image/png"/>
  <Override PartName="/word/media/rId112.png" ContentType="image/png"/>
  <Override PartName="/word/media/rId80.png" ContentType="image/png"/>
  <Override PartName="/word/media/rId77.png" ContentType="image/png"/>
  <Override PartName="/word/media/rId78.png" ContentType="image/png"/>
  <Override PartName="/word/media/rId76.png" ContentType="image/png"/>
  <Override PartName="/word/media/rId114.png" ContentType="image/png"/>
  <Override PartName="/word/media/rId115.png" ContentType="image/png"/>
  <Override PartName="/word/media/rId83.png" ContentType="image/png"/>
  <Override PartName="/word/media/rId93.png" ContentType="image/png"/>
  <Override PartName="/word/media/rId86.png" ContentType="image/png"/>
  <Override PartName="/word/media/rId85.png" ContentType="image/png"/>
  <Override PartName="/word/media/rId126.png" ContentType="image/png"/>
  <Override PartName="/word/media/rId102.png" ContentType="image/png"/>
  <Override PartName="/word/media/rId101.png" ContentType="image/png"/>
  <Override PartName="/word/media/rId98.png" ContentType="image/png"/>
  <Override PartName="/word/media/rId88.png" ContentType="image/png"/>
  <Override PartName="/word/media/rId89.png" ContentType="image/png"/>
  <Override PartName="/word/media/rId91.png" ContentType="image/png"/>
  <Override PartName="/word/media/rId47.png" ContentType="image/png"/>
  <Override PartName="/word/media/rId46.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Compac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r>
        <w:br w:type="textWrapping"/>
      </w:r>
    </w:p>
    <w:p>
      <w:pPr>
        <w:pStyle w:val="Compact"/>
        <w:numPr>
          <w:numId w:val="1001"/>
          <w:ilvl w:val="0"/>
        </w:numPr>
      </w:pPr>
      <w:r>
        <w:t xml:space="preserve">Summarization of Spectrum Mill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and</w:t>
      </w:r>
      <w:r>
        <w:t xml:space="preserve"> </w:t>
      </w:r>
      <w:hyperlink r:id="rId24">
        <w:r>
          <w:rPr>
            <w:rStyle w:val="Hyperlink"/>
          </w:rPr>
          <w:t xml:space="preserve">Spectrum Mill</w:t>
        </w:r>
      </w:hyperlink>
      <w:r>
        <w:t xml:space="preserve"> </w:t>
      </w:r>
      <w:r>
        <w:t xml:space="preserve">are</w:t>
      </w:r>
      <w:r>
        <w:t xml:space="preserve"> </w:t>
      </w:r>
      <w:r>
        <w:t xml:space="preserve">stored in a companion package,</w:t>
      </w:r>
      <w:r>
        <w:t xml:space="preserve"> </w:t>
      </w:r>
      <w:r>
        <w:rPr>
          <w:rStyle w:val="VerbatimChar"/>
        </w:rPr>
        <w:t xml:space="preserve">proteoQDA</w:t>
      </w:r>
      <w:r>
        <w:t xml:space="preserve">. The raw PSM results from</w:t>
      </w:r>
      <w:r>
        <w:t xml:space="preserve"> </w:t>
      </w:r>
      <w:hyperlink r:id="rId23">
        <w:r>
          <w:rPr>
            <w:rStyle w:val="Hyperlink"/>
          </w:rPr>
          <w:t xml:space="preserve">MaxQuant</w:t>
        </w:r>
      </w:hyperlink>
      <w:r>
        <w:t xml:space="preserve"> </w:t>
      </w:r>
      <w:r>
        <w:t xml:space="preserve">searches are stored in a second companion package,</w:t>
      </w:r>
      <w:r>
        <w:t xml:space="preserve"> </w:t>
      </w:r>
      <w:r>
        <w:rPr>
          <w:rStyle w:val="VerbatimChar"/>
        </w:rPr>
        <w:t xml:space="preserve">proteoQDB</w:t>
      </w:r>
      <w:r>
        <w:t xml:space="preserve">.</w:t>
      </w:r>
    </w:p>
    <w:p>
      <w:pPr>
        <w:pStyle w:val="Heading3"/>
      </w:pPr>
      <w:bookmarkStart w:id="28" w:name="set-up-experiment-for-mascot-workflow"/>
      <w:r>
        <w:t xml:space="preserve">1.1 Set up experiment for Mascot workflow</w:t>
      </w:r>
      <w:bookmarkEnd w:id="28"/>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9" w:name="prepare-fasta-databases"/>
      <w:r>
        <w:t xml:space="preserve">1.1.1 Prepare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r>
        <w:br w:type="textWrapping"/>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repare-mascot-psm-data"/>
      <w:r>
        <w:t xml:space="preserve">1.1.2 Prepare Mascot PSM data</w:t>
      </w:r>
      <w:bookmarkEnd w:id="30"/>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1"/>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2"/>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3">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4">
        <w:r>
          <w:rPr>
            <w:rStyle w:val="Hyperlink"/>
          </w:rPr>
          <w:t xml:space="preserve">Mascot Daemon</w:t>
        </w:r>
      </w:hyperlink>
      <w:r>
        <w:t xml:space="preserve">.</w:t>
      </w:r>
      <w:r>
        <w:rPr>
          <w:rStyle w:val="FootnoteReference"/>
        </w:rPr>
        <w:footnoteReference w:id="35"/>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6"/>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7" w:name="prepare-metadata"/>
      <w:r>
        <w:t xml:space="preserve">1.1.3 Prepare metadata</w:t>
      </w:r>
      <w:bookmarkEnd w:id="37"/>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8"/>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9"/>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40" w:name="load-experiment"/>
      <w:r>
        <w:t xml:space="preserve">1.1.4 Load experiment</w:t>
      </w:r>
      <w:bookmarkEnd w:id="40"/>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1" w:name="summarise-mascot-psms"/>
      <w:r>
        <w:t xml:space="preserve">1.2 Summarise Mascot PSMs</w:t>
      </w:r>
      <w:bookmarkEnd w:id="41"/>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2" w:name="process-psms"/>
      <w:r>
        <w:t xml:space="preserve">1.2.1 Process PSMs</w:t>
      </w:r>
      <w:bookmarkEnd w:id="42"/>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3" w:name="normpsm"/>
      <w:r>
        <w:t xml:space="preserve">1.2.1.1 normPSM</w:t>
      </w:r>
      <w:bookmarkEnd w:id="43"/>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4"/>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filter_psms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 Backticks will be needed for column keys containing white space(s) and/or special character(s):</w:t>
      </w:r>
      <w:r>
        <w:t xml:space="preserve"> </w:t>
      </w:r>
      <w:r>
        <w:rPr>
          <w:rStyle w:val="VerbatimChar"/>
        </w:rPr>
        <w:t xml:space="preserve">`key with space (sample id in parenthesis)`</w:t>
      </w:r>
      <w:r>
        <w:t xml:space="preserve">.</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At present, the</w:t>
      </w:r>
      <w:r>
        <w:t xml:space="preserve"> </w:t>
      </w:r>
      <w:r>
        <w:rPr>
          <w:rStyle w:val="VerbatimChar"/>
        </w:rPr>
        <w:t xml:space="preserve">purgePSM</w:t>
      </w:r>
      <w:r>
        <w:t xml:space="preserve"> </w:t>
      </w:r>
      <w:r>
        <w:t xml:space="preserve">facility can be used for data purging by the CV of peptides from contributing PSMs. Namely, quantitations that have yielded peptide CV greater than a user-supplied cut-off will be replaced with NA. This process takes place sample (column)-wisely by</w:t>
      </w:r>
      <w:r>
        <w:t xml:space="preserve"> </w:t>
      </w:r>
      <w:r>
        <w:rPr>
          <w:i/>
        </w:rPr>
        <w:t xml:space="preserve">flushing</w:t>
      </w:r>
      <w:r>
        <w:t xml:space="preserve"> </w:t>
      </w:r>
      <w:r>
        <w:t xml:space="preserve">away</w:t>
      </w:r>
      <w:r>
        <w:t xml:space="preserve"> </w:t>
      </w:r>
      <w:r>
        <w:rPr>
          <w:i/>
        </w:rPr>
        <w:t xml:space="preserve">inferior goods</w:t>
      </w:r>
      <w:r>
        <w:t xml:space="preserve"> </w:t>
      </w:r>
      <w:r>
        <w:t xml:space="preserve">under each data channel. The process is different to the above</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Compact"/>
      </w:pPr>
      <w:r>
        <w:t xml:space="preserve">Data nullification by</w:t>
      </w:r>
      <w:r>
        <w:t xml:space="preserve"> </w:t>
      </w:r>
      <w:r>
        <w:rPr>
          <w:rStyle w:val="VerbatimChar"/>
        </w:rPr>
        <w:t xml:space="preserve">purgePSM</w:t>
      </w:r>
      <w:r>
        <w:t xml:space="preserve"> </w:t>
      </w:r>
      <w:r>
        <w:t xml:space="preserve">is an irreversible process. If you are still experimenting this feature, make a copy of files</w:t>
      </w:r>
      <w:r>
        <w:t xml:space="preserve"> </w:t>
      </w:r>
      <w:r>
        <w:rPr>
          <w:rStyle w:val="VerbatimChar"/>
        </w:rPr>
        <w:t xml:space="preserve">\PSM\TMTset1_LCMSinj1_PSM_N.txt</w:t>
      </w:r>
      <w:r>
        <w:t xml:space="preserve"> </w:t>
      </w:r>
      <w:r>
        <w:t xml:space="preserve">et al. before proceed. Similarly for</w:t>
      </w:r>
      <w:r>
        <w:t xml:space="preserve"> </w:t>
      </w:r>
      <w:r>
        <w:rPr>
          <w:rStyle w:val="VerbatimChar"/>
        </w:rPr>
        <w:t xml:space="preserve">purgePep</w:t>
      </w:r>
      <w:r>
        <w:t xml:space="preserve"> </w:t>
      </w:r>
      <w:r>
        <w:t xml:space="preserve">that we will soon discuss, make a copy of file</w:t>
      </w:r>
      <w:r>
        <w:t xml:space="preserve"> </w:t>
      </w:r>
      <w:r>
        <w:rPr>
          <w:rStyle w:val="VerbatimChar"/>
        </w:rPr>
        <w:t xml:space="preserve">Peptide\Peptide.txt</w:t>
      </w:r>
      <w:r>
        <w:t xml:space="preserve"> </w:t>
      </w:r>
      <w:r>
        <w:t xml:space="preserve">before proceed.</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49"/>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The above method using a flat cut-off would probably fall short if the ranges of CV are vastly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 al. before proceed</w:t>
      </w:r>
      <w:r>
        <w:br w:type="textWrapping"/>
      </w:r>
      <w:r>
        <w:rPr>
          <w:rStyle w:val="CommentTok"/>
        </w:rPr>
        <w:t xml:space="preserve"># otherwise the net effect will be additive to the prior(s)</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next `pt_cv` on top of `max_cv`</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r>
        <w:br w:type="textWrapping"/>
      </w:r>
      <w:r>
        <w:br w:type="textWrapping"/>
      </w:r>
      <w:r>
        <w:rPr>
          <w:rStyle w:val="CommentTok"/>
        </w:rPr>
        <w:t xml:space="preserve"># next 95% of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50" w:name="summarize-psms-to-peptides"/>
      <w:r>
        <w:t xml:space="preserve">1.2.2 Summarize PSMs to peptides</w:t>
      </w:r>
      <w:bookmarkEnd w:id="50"/>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1" w:name="normpep"/>
      <w:r>
        <w:t xml:space="preserve">1.2.2.1 normPep</w:t>
      </w:r>
      <w:bookmarkEnd w:id="51"/>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2"/>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3"/>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4" w:name="purgepep"/>
      <w:r>
        <w:t xml:space="preserve">1.2.2.2 purgePep</w:t>
      </w:r>
      <w:bookmarkEnd w:id="54"/>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or purge column-wisely by max CV</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type="textWrapping"/>
      </w:r>
      <w:r>
        <w:rPr>
          <w:rStyle w:val="NormalTok"/>
        </w:rPr>
        <w:t xml:space="preserve">)</w:t>
      </w:r>
      <w:r>
        <w:br w:type="textWrapping"/>
      </w:r>
      <w:r>
        <w:br w:type="textWrapping"/>
      </w:r>
      <w:r>
        <w:rPr>
          <w:rStyle w:val="CommentTok"/>
        </w:rPr>
        <w:t xml:space="preserve"># or purge column-wisely by CV percentile</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type="textWrapping"/>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 log2FC 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5"/>
      </w:pPr>
      <w:bookmarkStart w:id="55" w:name="pephist"/>
      <w:r>
        <w:t xml:space="preserve">1.2.2.3 pepHist</w:t>
      </w:r>
      <w:bookmarkEnd w:id="55"/>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6"/>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8">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9"/>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60">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2"/>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3"/>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4" w:name="summarize-peptides-to-proteins"/>
      <w:r>
        <w:t xml:space="preserve">1.2.3 Summarize peptides to proteins</w:t>
      </w:r>
      <w:bookmarkEnd w:id="64"/>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5" w:name="renormalize-data-against-column-subsets"/>
      <w:r>
        <w:t xml:space="preserve">1.3 Renormalize data against column subsets</w:t>
      </w:r>
      <w:bookmarkEnd w:id="65"/>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6"/>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7" w:name="renormalize-data-against-row-subsets"/>
      <w:r>
        <w:t xml:space="preserve">1.4 Renormalize data against row subsets</w:t>
      </w:r>
      <w:bookmarkEnd w:id="67"/>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8" w:name="summarize-maxquant-results"/>
      <w:r>
        <w:t xml:space="preserve">1.5 Summarize MaxQuant results</w:t>
      </w:r>
      <w:bookmarkEnd w:id="68"/>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9">
        <w:r>
          <w:rPr>
            <w:rStyle w:val="Hyperlink"/>
          </w:rPr>
          <w:t xml:space="preserve">LFS</w:t>
        </w:r>
      </w:hyperlink>
      <w:r>
        <w:t xml:space="preserve">. One resort is to install</w:t>
      </w:r>
      <w:r>
        <w:t xml:space="preserve"> </w:t>
      </w:r>
      <w:hyperlink r:id="rId70">
        <w:r>
          <w:rPr>
            <w:rStyle w:val="Hyperlink"/>
          </w:rPr>
          <w:t xml:space="preserve">Github Desktop</w:t>
        </w:r>
      </w:hyperlink>
      <w:r>
        <w:t xml:space="preserve">, find</w:t>
      </w:r>
      <w:r>
        <w:t xml:space="preserve"> </w:t>
      </w:r>
      <w:hyperlink r:id="rId71">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2" w:name="summarize-spectrum-mill-results"/>
      <w:r>
        <w:t xml:space="preserve">1.6 Summarize Spectrum Mill results</w:t>
      </w:r>
      <w:bookmarkEnd w:id="72"/>
    </w:p>
    <w:p>
      <w:pPr>
        <w:pStyle w:val="FirstParagraph"/>
      </w:pPr>
      <w:r>
        <w:t xml:space="preserve">The procedures that have been applied to Mascot and MaxQuant examples are also suitable for Spectrum Mill PSMs. There is one difference that the file names of PSMs need to start with</w:t>
      </w:r>
      <w:r>
        <w:t xml:space="preserve"> </w:t>
      </w:r>
      <w:r>
        <w:rPr>
          <w:rStyle w:val="VerbatimChar"/>
        </w:rPr>
        <w:t xml:space="preserve">PSMexport</w:t>
      </w:r>
      <w:r>
        <w:t xml:space="preserve"> </w:t>
      </w:r>
      <w:r>
        <w:t xml:space="preserve">and end with the</w:t>
      </w:r>
      <w:r>
        <w:t xml:space="preserve"> </w:t>
      </w:r>
      <w:r>
        <w:rPr>
          <w:rStyle w:val="VerbatimChar"/>
        </w:rPr>
        <w:t xml:space="preserve">ssv</w:t>
      </w:r>
      <w:r>
        <w:t xml:space="preserve"> </w:t>
      </w:r>
      <w:r>
        <w:t xml:space="preserve">extension. For simplicity, I will only show an exemple in PSM processing:</w:t>
      </w:r>
    </w:p>
    <w:p>
      <w:pPr>
        <w:pStyle w:val="SourceCode"/>
      </w:pP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type="textWrapping"/>
      </w:r>
      <w:r>
        <w:rPr>
          <w:rStyle w:val="NormalTok"/>
        </w:rPr>
        <w:t xml:space="preserve">)</w:t>
      </w:r>
    </w:p>
    <w:p>
      <w:pPr>
        <w:pStyle w:val="Heading3"/>
      </w:pPr>
      <w:bookmarkStart w:id="73" w:name="workflow-scripts"/>
      <w:r>
        <w:t xml:space="preserve">1.7 Workflow scripts</w:t>
      </w:r>
      <w:bookmarkEnd w:id="73"/>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4" w:name="basic-informatics"/>
      <w:r>
        <w:t xml:space="preserve">2 Basic informatics</w:t>
      </w:r>
      <w:bookmarkEnd w:id="74"/>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5" w:name="mds-and-pca-plots"/>
      <w:r>
        <w:t xml:space="preserve">2.1 MDS and PCA plots</w:t>
      </w:r>
      <w:bookmarkEnd w:id="75"/>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7"/>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8"/>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9">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1" w:name="correlation-plots"/>
      <w:r>
        <w:t xml:space="preserve">2.2 Correlation plots</w:t>
      </w:r>
      <w:bookmarkEnd w:id="81"/>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4" w:name="heat-maps"/>
      <w:r>
        <w:t xml:space="preserve">2.3 Heat maps</w:t>
      </w:r>
      <w:bookmarkEnd w:id="84"/>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9">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6"/>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7" w:name="X522d6d33710d49c0cb33cc1571203152cf5c1c5"/>
      <w:r>
        <w:t xml:space="preserve">2.4 Significance tests and volcano plot visualization</w:t>
      </w:r>
      <w:bookmarkEnd w:id="87"/>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8"/>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9"/>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0" w:name="gene-sets-under-volcano-plots"/>
      <w:r>
        <w:t xml:space="preserve">2.5 Gene sets under volcano plots</w:t>
      </w:r>
      <w:bookmarkEnd w:id="90"/>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At the input levels,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On the output levels, argument</w:t>
      </w:r>
      <w:r>
        <w:t xml:space="preserve"> </w:t>
      </w:r>
      <w:r>
        <w:rPr>
          <w:rStyle w:val="VerbatimChar"/>
        </w:rPr>
        <w:t xml:space="preserve">gspval_cutoff</w:t>
      </w:r>
      <w:r>
        <w:t xml:space="preserve"> </w:t>
      </w:r>
      <w:r>
        <w:t xml:space="preserve">sets a threshold in gene set significance for reporting.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 </w:t>
      </w:r>
      <w:r>
        <w:rPr>
          <w:rStyle w:val="CommentTok"/>
        </w:rPr>
        <w:t xml:space="preserve"># significance threshold for mapping</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 </w:t>
      </w:r>
      <w:r>
        <w:rPr>
          <w:rStyle w:val="CommentTok"/>
        </w:rPr>
        <w:t xml:space="preserve"># FC threshold for mapping</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xco =</w:t>
      </w:r>
      <w:r>
        <w:rPr>
          <w:rStyle w:val="NormalTok"/>
        </w:rPr>
        <w:t xml:space="preserve"> </w:t>
      </w:r>
      <w:r>
        <w:rPr>
          <w:rStyle w:val="FloatTok"/>
        </w:rPr>
        <w:t xml:space="preserve">1.2</w:t>
      </w:r>
      <w:r>
        <w:rPr>
          <w:rStyle w:val="NormalTok"/>
        </w:rPr>
        <w:t xml:space="preserve">, </w:t>
      </w:r>
      <w:r>
        <w:rPr>
          <w:rStyle w:val="CommentTok"/>
        </w:rPr>
        <w:t xml:space="preserve"># position of two vertical lines for FC</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 </w:t>
      </w:r>
      <w:r>
        <w:rPr>
          <w:rStyle w:val="CommentTok"/>
        </w:rPr>
        <w:t xml:space="preserve"># position of a horizental line for pVal</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A.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7A.</w:t>
      </w:r>
      <w:r>
        <w:t xml:space="preserve"> </w:t>
      </w:r>
      <w:r>
        <w:t xml:space="preserve">An example of volcano plots of protein log2FC under a gene set</w:t>
      </w:r>
    </w:p>
    <w:p>
      <w:pPr>
        <w:pStyle w:val="BodyText"/>
      </w:pPr>
      <w:r>
        <w:t xml:space="preserve">The names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BodyText"/>
      </w:pPr>
      <w:r>
        <w:t xml:space="preserve">In addition to finding gene sets with significance,</w:t>
      </w:r>
      <w:r>
        <w:t xml:space="preserve"> </w:t>
      </w:r>
      <w:r>
        <w:rPr>
          <w:rStyle w:val="VerbatimChar"/>
        </w:rPr>
        <w:t xml:space="preserve">prnGSPA</w:t>
      </w:r>
      <w:r>
        <w:t xml:space="preserve"> </w:t>
      </w:r>
      <w:r>
        <w:t xml:space="preserve">reports the essential gene sets using a greedy set cover algorithm by</w:t>
      </w:r>
      <w:r>
        <w:t xml:space="preserve"> </w:t>
      </w:r>
      <w:hyperlink r:id="rId92">
        <w:r>
          <w:rPr>
            <w:rStyle w:val="VerbatimChar"/>
            <w:rStyle w:val="Hyperlink"/>
          </w:rPr>
          <w:t xml:space="preserve">RcppGreedySetCover</w:t>
        </w:r>
      </w:hyperlink>
      <w:r>
        <w:t xml:space="preserve">. The correspondance between essential and all of the gene sets are stored in</w:t>
      </w:r>
      <w:r>
        <w:t xml:space="preserve"> </w:t>
      </w:r>
      <w:r>
        <w:rPr>
          <w:rStyle w:val="VerbatimChar"/>
        </w:rPr>
        <w:t xml:space="preserve">essmap_Protein_GSPA_Z_...csv</w:t>
      </w:r>
      <w:r>
        <w:t xml:space="preserve"> </w:t>
      </w:r>
      <w:r>
        <w:t xml:space="preserve">files. We next invoke the</w:t>
      </w:r>
      <w:r>
        <w:t xml:space="preserve"> </w:t>
      </w:r>
      <w:r>
        <w:rPr>
          <w:rStyle w:val="VerbatimChar"/>
        </w:rPr>
        <w:t xml:space="preserve">prnGSPAHM</w:t>
      </w:r>
      <w:r>
        <w:t xml:space="preserve"> </w:t>
      </w:r>
      <w:r>
        <w:t xml:space="preserve">utility to visualize the distance heat maps between gene sets:</w:t>
      </w:r>
    </w:p>
    <w:p>
      <w:pPr>
        <w:pStyle w:val="SourceCode"/>
      </w:pPr>
      <w:r>
        <w:rPr>
          <w:rStyle w:val="KeywordTok"/>
        </w:rPr>
        <w:t xml:space="preserve">prnGSPAHM</w:t>
      </w:r>
      <w:r>
        <w:rPr>
          <w:rStyle w:val="NormalTok"/>
        </w:rPr>
        <w:t xml:space="preserve">(</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(count </w:t>
      </w:r>
      <w:r>
        <w:rPr>
          <w:rStyle w:val="OperatorTok"/>
        </w:rPr>
        <w:t xml:space="preserve">&gt;=</w:t>
      </w:r>
      <w:r>
        <w:rPr>
          <w:rStyle w:val="StringTok"/>
        </w:rPr>
        <w:t xml:space="preserve"> </w:t>
      </w:r>
      <w:r>
        <w:rPr>
          <w:rStyle w:val="DecValTok"/>
        </w:rPr>
        <w:t xml:space="preserve">8</w:t>
      </w:r>
      <w:r>
        <w:rPr>
          <w:rStyle w:val="NormalTok"/>
        </w:rPr>
        <w:t xml:space="preserve">, percent </w:t>
      </w:r>
      <w:r>
        <w:rPr>
          <w:rStyle w:val="OperatorTok"/>
        </w:rPr>
        <w:t xml:space="preserve">&gt;=</w:t>
      </w:r>
      <w:r>
        <w:rPr>
          <w:rStyle w:val="StringTok"/>
        </w:rPr>
        <w:t xml:space="preserve"> </w:t>
      </w:r>
      <w:r>
        <w:rPr>
          <w:rStyle w:val="FloatTok"/>
        </w:rPr>
        <w:t xml:space="preserve">.20</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StringTok"/>
        </w:rPr>
        <w:t xml:space="preserve">"source"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StringTok"/>
        </w:rPr>
        <w:t xml:space="preserve">"Essential set index"</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w:t>
      </w:r>
      <w:r>
        <w:br w:type="textWrapping"/>
      </w:r>
      <w:r>
        <w:rPr>
          <w:rStyle w:val="NormalTok"/>
        </w:rPr>
        <w:t xml:space="preserve">)</w:t>
      </w:r>
    </w:p>
    <w:p>
      <w:pPr>
        <w:pStyle w:val="FirstParagraph"/>
      </w:pPr>
      <w:r>
        <w:t xml:space="preserve">The end-user function is again a wrapper of</w:t>
      </w:r>
      <w:r>
        <w:t xml:space="preserve"> </w:t>
      </w:r>
      <w:r>
        <w:rPr>
          <w:rStyle w:val="VerbatimChar"/>
        </w:rPr>
        <w:t xml:space="preserve">pheatmap</w:t>
      </w:r>
      <w:r>
        <w:t xml:space="preserve"> </w:t>
      </w:r>
      <w:r>
        <w:t xml:space="preserve">and passes additional arguments for graphic controls. More examples can be found via</w:t>
      </w:r>
      <w:r>
        <w:t xml:space="preserve"> </w:t>
      </w:r>
      <w:r>
        <w:rPr>
          <w:rStyle w:val="VerbatimChar"/>
        </w:rPr>
        <w:t xml:space="preserve">?prnGSPA</w:t>
      </w:r>
      <w:r>
        <w:t xml:space="preserve">.</w:t>
      </w:r>
    </w:p>
    <w:p>
      <w:pPr>
        <w:pStyle w:val="CaptionedFigure"/>
      </w:pPr>
      <w:r>
        <w:drawing>
          <wp:inline>
            <wp:extent cx="5334000" cy="3660895"/>
            <wp:effectExtent b="0" l="0" r="0" t="0"/>
            <wp:docPr descr="Figure 7B. Heat map visualization of the distances of gene sets" title="" id="1" name="Picture"/>
            <a:graphic>
              <a:graphicData uri="http://schemas.openxmlformats.org/drawingml/2006/picture">
                <pic:pic>
                  <pic:nvPicPr>
                    <pic:cNvPr descr="images\protein\gspa\prn_gspa.png" id="0" name="Picture"/>
                    <pic:cNvPicPr>
                      <a:picLocks noChangeArrowheads="1" noChangeAspect="1"/>
                    </pic:cNvPicPr>
                  </pic:nvPicPr>
                  <pic:blipFill>
                    <a:blip r:embed="rId93"/>
                    <a:stretch>
                      <a:fillRect/>
                    </a:stretch>
                  </pic:blipFill>
                  <pic:spPr bwMode="auto">
                    <a:xfrm>
                      <a:off x="0" y="0"/>
                      <a:ext cx="5334000" cy="3660895"/>
                    </a:xfrm>
                    <a:prstGeom prst="rect">
                      <a:avLst/>
                    </a:prstGeom>
                    <a:noFill/>
                    <a:ln w="9525">
                      <a:noFill/>
                      <a:headEnd/>
                      <a:tailEnd/>
                    </a:ln>
                  </pic:spPr>
                </pic:pic>
              </a:graphicData>
            </a:graphic>
          </wp:inline>
        </w:drawing>
      </w:r>
    </w:p>
    <w:p>
      <w:pPr>
        <w:pStyle w:val="ImageCaption"/>
      </w:pPr>
      <w:r>
        <w:rPr>
          <w:b/>
        </w:rPr>
        <w:t xml:space="preserve">Figure 7B.</w:t>
      </w:r>
      <w:r>
        <w:t xml:space="preserve"> </w:t>
      </w:r>
      <w:r>
        <w:t xml:space="preserve">Heat map visualization of the distances of gene sets</w:t>
      </w:r>
    </w:p>
    <w:p>
      <w:pPr>
        <w:pStyle w:val="BodyText"/>
      </w:pPr>
      <w:r>
        <w:t xml:space="preserve">Along side with the png,</w:t>
      </w:r>
      <w:r>
        <w:t xml:space="preserve"> </w:t>
      </w:r>
      <w:r>
        <w:rPr>
          <w:rStyle w:val="VerbatimChar"/>
        </w:rPr>
        <w:t xml:space="preserve">prnGSPAHM</w:t>
      </w:r>
      <w:r>
        <w:t xml:space="preserve"> </w:t>
      </w:r>
      <w:r>
        <w:t xml:space="preserve">produces the networks of gene sets via</w:t>
      </w:r>
      <w:r>
        <w:t xml:space="preserve"> </w:t>
      </w:r>
      <w:hyperlink r:id="rId94">
        <w:r>
          <w:rPr>
            <w:rStyle w:val="VerbatimChar"/>
            <w:rStyle w:val="Hyperlink"/>
          </w:rPr>
          <w:t xml:space="preserve">networkD3</w:t>
        </w:r>
      </w:hyperlink>
      <w:r>
        <w:t xml:space="preserve">, for interactive exploration of gene set redundancy.</w:t>
      </w:r>
    </w:p>
    <w:p>
      <w:pPr>
        <w:pStyle w:val="Compact"/>
      </w:pPr>
      <w:r>
        <w:t xml:space="preserve">Click</w:t>
      </w:r>
      <w:r>
        <w:t xml:space="preserve"> </w:t>
      </w:r>
      <w:hyperlink r:id="rId95">
        <w:r>
          <w:rPr>
            <w:rStyle w:val="Hyperlink"/>
          </w:rPr>
          <w:t xml:space="preserve">here</w:t>
        </w:r>
      </w:hyperlink>
      <w:r>
        <w:t xml:space="preserve"> </w:t>
      </w:r>
      <w:r>
        <w:t xml:space="preserve">to render the GSPA network.</w:t>
      </w:r>
    </w:p>
    <w:p>
      <w:pPr>
        <w:pStyle w:val="Heading3"/>
      </w:pPr>
      <w:bookmarkStart w:id="96" w:name="trend-analysis"/>
      <w:r>
        <w:t xml:space="preserve">2.6 Trend Analysis</w:t>
      </w:r>
      <w:bookmarkEnd w:id="96"/>
    </w:p>
    <w:p>
      <w:pPr>
        <w:pStyle w:val="FirstParagraph"/>
      </w:pPr>
      <w:r>
        <w:t xml:space="preserve">The following performs the trend analysis against protein expressions. More information can be found from</w:t>
      </w:r>
      <w:r>
        <w:t xml:space="preserve"> </w:t>
      </w:r>
      <w:hyperlink r:id="rId97">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9" w:name="nmf-analysis"/>
      <w:r>
        <w:t xml:space="preserve">2.7 NMF Analysis</w:t>
      </w:r>
      <w:bookmarkEnd w:id="99"/>
    </w:p>
    <w:p>
      <w:pPr>
        <w:pStyle w:val="FirstParagraph"/>
      </w:pPr>
      <w:r>
        <w:t xml:space="preserve">The following performs the NMF analysis against protein data. More details can be found from</w:t>
      </w:r>
      <w:r>
        <w:t xml:space="preserve"> </w:t>
      </w:r>
      <w:hyperlink r:id="rId100">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10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3" w:name="string-analysis"/>
      <w:r>
        <w:t xml:space="preserve">2.8 STRING Analysis</w:t>
      </w:r>
      <w:bookmarkEnd w:id="103"/>
    </w:p>
    <w:p>
      <w:pPr>
        <w:pStyle w:val="FirstParagraph"/>
      </w:pPr>
      <w:r>
        <w:t xml:space="preserve">The following performs the</w:t>
      </w:r>
      <w:r>
        <w:t xml:space="preserve"> </w:t>
      </w:r>
      <w:hyperlink r:id="rId104">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05">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06" w:name="missing-value-imputation"/>
      <w:r>
        <w:t xml:space="preserve">2.9 Missing value imputation</w:t>
      </w:r>
      <w:bookmarkEnd w:id="106"/>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7">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8" w:name="labs"/>
      <w:r>
        <w:t xml:space="preserve">3 Labs</w:t>
      </w:r>
      <w:bookmarkEnd w:id="108"/>
    </w:p>
    <w:p>
      <w:pPr>
        <w:pStyle w:val="Heading3"/>
      </w:pPr>
      <w:bookmarkStart w:id="109" w:name="reference-choices"/>
      <w:r>
        <w:t xml:space="preserve">3.1 Reference choices</w:t>
      </w:r>
      <w:bookmarkEnd w:id="109"/>
    </w:p>
    <w:p>
      <w:pPr>
        <w:pStyle w:val="FirstParagraph"/>
      </w:pPr>
      <w:r>
        <w:t xml:space="preserve">In this lab, we explore the effects of reference choices on data normalization and cleanup.</w:t>
      </w:r>
    </w:p>
    <w:p>
      <w:pPr>
        <w:pStyle w:val="Heading4"/>
      </w:pPr>
      <w:bookmarkStart w:id="110" w:name="references-on-data-scaling"/>
      <w:r>
        <w:t xml:space="preserve">3.1.1 References on data scaling</w:t>
      </w:r>
      <w:bookmarkEnd w:id="110"/>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11"/>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12"/>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13" w:name="references-on-data-cv"/>
      <w:r>
        <w:t xml:space="preserve">3.1.2 References on data CV</w:t>
      </w:r>
      <w:bookmarkEnd w:id="113"/>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(see also section 1.3: Renormalize data agaist column subsets). We next display the distributions of proteins CV measured from contributing peptides before data removals (</w:t>
      </w:r>
      <w:r>
        <w:rPr>
          <w:b/>
        </w:rPr>
        <w:t xml:space="preserve">Figure S1C</w:t>
      </w:r>
      <w:r>
        <w:t xml:space="preserve">):</w:t>
      </w:r>
    </w:p>
    <w:p>
      <w:pPr>
        <w:pStyle w:val="Compact"/>
      </w:pPr>
      <w:r>
        <w:t xml:space="preserve">Check</w:t>
      </w:r>
      <w:r>
        <w:t xml:space="preserve"> </w:t>
      </w:r>
      <w:r>
        <w:t xml:space="preserve">the presence of column</w:t>
      </w:r>
      <w:r>
        <w:t xml:space="preserve"> </w:t>
      </w:r>
      <w:r>
        <w:rPr>
          <w:rStyle w:val="VerbatimChar"/>
        </w:rPr>
        <w:t xml:space="preserve">BI_1</w:t>
      </w:r>
      <w:r>
        <w:t xml:space="preserve"> </w:t>
      </w:r>
      <w:r>
        <w:t xml:space="preserve">in</w:t>
      </w:r>
      <w:r>
        <w:t xml:space="preserve"> </w:t>
      </w:r>
      <w:r>
        <w:rPr>
          <w:rStyle w:val="VerbatimChar"/>
        </w:rPr>
        <w:t xml:space="preserve">expt_smry_ref_w2.xlsx</w:t>
      </w:r>
      <w:r>
        <w:t xml:space="preserve"> </w:t>
      </w:r>
      <w:r>
        <w:t xml:space="preserve">before proceed; or update the</w:t>
      </w:r>
      <w:r>
        <w:t xml:space="preserve"> </w:t>
      </w:r>
      <w:r>
        <w:rPr>
          <w:rStyle w:val="VerbatimChar"/>
        </w:rPr>
        <w:t xml:space="preserve">proteoQDA</w:t>
      </w:r>
      <w:r>
        <w:t xml:space="preserve"> </w:t>
      </w:r>
      <w:r>
        <w:t xml:space="preserve">package.</w:t>
      </w:r>
    </w:p>
    <w:p>
      <w:pPr>
        <w:pStyle w:val="SourceCode"/>
      </w:pPr>
      <w:r>
        <w:rPr>
          <w:rStyle w:val="CommentTok"/>
        </w:rPr>
        <w:t xml:space="preserve"># experiment upload</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`BI_1` subset</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type="textWrapping"/>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seems to make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points by percentiles:</w:t>
      </w:r>
    </w:p>
    <w:p>
      <w:pPr>
        <w:pStyle w:val="SourceCode"/>
      </w:pP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_pt_cv.png,  </w:t>
      </w:r>
      <w:r>
        <w:br w:type="textWrapping"/>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1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pt_cv.png" id="0" name="Picture"/>
                    <pic:cNvPicPr>
                      <a:picLocks noChangeArrowheads="1" noChangeAspect="1"/>
                    </pic:cNvPicPr>
                  </pic:nvPicPr>
                  <pic:blipFill>
                    <a:blip r:embed="rId11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16" w:name="data-subsets"/>
      <w:r>
        <w:t xml:space="preserve">3.2 Data subsets</w:t>
      </w:r>
      <w:bookmarkEnd w:id="116"/>
    </w:p>
    <w:p>
      <w:pPr>
        <w:pStyle w:val="FirstParagraph"/>
      </w:pPr>
      <w:r>
        <w:t xml:space="preserve">The following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w:t>
      </w:r>
      <w:r>
        <w:rPr>
          <w:rStyle w:val="FootnoteReference"/>
        </w:rPr>
        <w:footnoteReference w:id="117"/>
      </w:r>
    </w:p>
    <w:p>
      <w:pPr>
        <w:pStyle w:val="Compact"/>
        <w:numPr>
          <w:numId w:val="1003"/>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type="textWrapping"/>
      </w:r>
    </w:p>
    <w:p>
      <w:pPr>
        <w:pStyle w:val="Compact"/>
        <w:numPr>
          <w:numId w:val="1003"/>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3"/>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type="textWrapping"/>
      </w:r>
    </w:p>
    <w:p>
      <w:pPr>
        <w:pStyle w:val="Compact"/>
        <w:numPr>
          <w:numId w:val="1003"/>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3"/>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type="textWrapping"/>
      </w:r>
    </w:p>
    <w:p>
      <w:pPr>
        <w:pStyle w:val="Compact"/>
        <w:numPr>
          <w:numId w:val="1003"/>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In this lab, we will apply</w:t>
      </w:r>
      <w:r>
        <w:t xml:space="preserve"> </w:t>
      </w:r>
      <w:r>
        <w:rPr>
          <w:rStyle w:val="VerbatimChar"/>
        </w:rPr>
        <w:t xml:space="preserve">contain_chars_in</w:t>
      </w:r>
      <w:r>
        <w:t xml:space="preserve"> </w:t>
      </w:r>
      <w:r>
        <w:t xml:space="preserve">to subset peptide data using the CPTAC examples. In addition to the global proteomes, the CPTAC publication contains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w:t>
      </w:r>
    </w:p>
    <w:p>
      <w:pPr>
        <w:pStyle w:val="BodyText"/>
      </w:pPr>
      <w:r>
        <w:t xml:space="preserve">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(a) phospho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"BI_pSTY_scaley_no.png"</w:t>
      </w:r>
      <w:r>
        <w:rPr>
          <w:rStyle w:val="NormalTok"/>
        </w:rPr>
        <w:t xml:space="preserve">,</w:t>
      </w:r>
      <w:r>
        <w:br w:type="textWrapping"/>
      </w:r>
      <w:r>
        <w:rPr>
          <w:rStyle w:val="NormalTok"/>
        </w:rPr>
        <w:t xml:space="preserve">)</w:t>
      </w:r>
      <w:r>
        <w:br w:type="textWrapping"/>
      </w:r>
      <w:r>
        <w:br w:type="textWrapping"/>
      </w:r>
      <w:r>
        <w:rPr>
          <w:rStyle w:val="CommentTok"/>
        </w:rPr>
        <w:t xml:space="preserve"># (b) phospho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"BI_pSTY_scaley_yes.png"</w:t>
      </w:r>
      <w:r>
        <w:rPr>
          <w:rStyle w:val="NormalTok"/>
        </w:rPr>
        <w:t xml:space="preserve">,</w:t>
      </w:r>
      <w:r>
        <w:br w:type="textWrapping"/>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p>
    <w:p>
      <w:pPr>
        <w:pStyle w:val="BodyText"/>
      </w:pP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no.png" id="0" name="Picture"/>
                    <pic:cNvPicPr>
                      <a:picLocks noChangeArrowheads="1" noChangeAspect="1"/>
                    </pic:cNvPicPr>
                  </pic:nvPicPr>
                  <pic:blipFill>
                    <a:blip r:embed="rId118"/>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yes.png" id="0" name="Picture"/>
                    <pic:cNvPicPr>
                      <a:picLocks noChangeArrowheads="1" noChangeAspect="1"/>
                    </pic:cNvPicPr>
                  </pic:nvPicPr>
                  <pic:blipFill>
                    <a:blip r:embed="rId119"/>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We can use the same approach for more data subsetting, for example, extracting N-terminal peptides with acetylation:</w:t>
      </w:r>
    </w:p>
    <w:p>
      <w:pPr>
        <w:pStyle w:val="SourceCode"/>
      </w:pPr>
      <w:r>
        <w:rPr>
          <w:rStyle w:val="CommentTok"/>
        </w:rPr>
        <w:t xml:space="preserve"># (c) N-term acetylation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"BI_NAc_scaley_no.png"</w:t>
      </w:r>
      <w:r>
        <w:rPr>
          <w:rStyle w:val="NormalTok"/>
        </w:rPr>
        <w:t xml:space="preserve">,</w:t>
      </w:r>
      <w:r>
        <w:br w:type="textWrapping"/>
      </w:r>
      <w:r>
        <w:rPr>
          <w:rStyle w:val="NormalTok"/>
        </w:rPr>
        <w:t xml:space="preserve">)</w:t>
      </w:r>
      <w:r>
        <w:br w:type="textWrapping"/>
      </w:r>
      <w:r>
        <w:br w:type="textWrapping"/>
      </w:r>
      <w:r>
        <w:rPr>
          <w:rStyle w:val="CommentTok"/>
        </w:rPr>
        <w:t xml:space="preserve"># (d) N-term acetylation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"BI_NAc_scaley_yes.png"</w:t>
      </w:r>
      <w:r>
        <w:rPr>
          <w:rStyle w:val="NormalTok"/>
        </w:rPr>
        <w:t xml:space="preserve">,</w:t>
      </w:r>
      <w:r>
        <w:br w:type="textWrapping"/>
      </w:r>
      <w:r>
        <w:rPr>
          <w:rStyle w:val="NormalTok"/>
        </w:rPr>
        <w:t xml:space="preserve">)</w:t>
      </w:r>
    </w:p>
    <w:p>
      <w:pPr>
        <w:pStyle w:val="FirstParagraph"/>
      </w:pPr>
      <w:r>
        <w:t xml:space="preserve">Note that we do not use</w:t>
      </w:r>
      <w:r>
        <w:t xml:space="preserve"> </w:t>
      </w:r>
      <w:r>
        <w:rPr>
          <w:rStyle w:val="VerbatimChar"/>
        </w:rPr>
        <w:t xml:space="preserve">start_with_str</w:t>
      </w:r>
      <w:r>
        <w:t xml:space="preserve"> </w:t>
      </w:r>
      <w:r>
        <w:t xml:space="preserve">or</w:t>
      </w:r>
      <w:r>
        <w:t xml:space="preserve"> </w:t>
      </w:r>
      <w:r>
        <w:rPr>
          <w:rStyle w:val="VerbatimChar"/>
        </w:rPr>
        <w:t xml:space="preserve">start_with_chars_in</w:t>
      </w:r>
      <w:r>
        <w:t xml:space="preserve">. One of the reasons is that the one-letter representation of peptide sequences contain the flanking residues on the N-terminals.</w:t>
      </w:r>
    </w:p>
    <w:p>
      <w:pPr>
        <w:pStyle w:val="BodyText"/>
      </w:pP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no.png" id="0" name="Picture"/>
                    <pic:cNvPicPr>
                      <a:picLocks noChangeArrowheads="1" noChangeAspect="1"/>
                    </pic:cNvPicPr>
                  </pic:nvPicPr>
                  <pic:blipFill>
                    <a:blip r:embed="rId120"/>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yes.png" id="0" name="Picture"/>
                    <pic:cNvPicPr>
                      <a:picLocks noChangeArrowheads="1" noChangeAspect="1"/>
                    </pic:cNvPicPr>
                  </pic:nvPicPr>
                  <pic:blipFill>
                    <a:blip r:embed="rId121"/>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In general, the pseudoname approach can be coupled to utilities in</w:t>
      </w:r>
      <w:r>
        <w:t xml:space="preserve"> </w:t>
      </w:r>
      <w:r>
        <w:rPr>
          <w:rStyle w:val="VerbatimChar"/>
        </w:rPr>
        <w:t xml:space="preserve">proteoQ</w:t>
      </w:r>
      <w:r>
        <w:t xml:space="preserve"> </w:t>
      </w:r>
      <w:r>
        <w:t xml:space="preserve">that accept the varargs of</w:t>
      </w:r>
      <w:r>
        <w:t xml:space="preserve"> </w:t>
      </w:r>
      <w:r>
        <w:rPr>
          <w:rStyle w:val="VerbatimChar"/>
        </w:rPr>
        <w:t xml:space="preserve">filter_</w:t>
      </w:r>
      <w:r>
        <w:t xml:space="preserve"> </w:t>
      </w:r>
      <w:r>
        <w:t xml:space="preserve">and</w:t>
      </w:r>
      <w:r>
        <w:t xml:space="preserve"> </w:t>
      </w:r>
      <w:r>
        <w:rPr>
          <w:rStyle w:val="VerbatimChar"/>
        </w:rPr>
        <w:t xml:space="preserve">slice_</w:t>
      </w:r>
      <w:r>
        <w:t xml:space="preserve">.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then exclude oxidized methione or deamidated asparagine from uses in data normalization:</w:t>
      </w:r>
    </w:p>
    <w:p>
      <w:pPr>
        <w:pStyle w:val="SourceCode"/>
      </w:pP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type="textWrapping"/>
      </w:r>
      <w:r>
        <w:rPr>
          <w:rStyle w:val="NormalTok"/>
        </w:rPr>
        <w:t xml:space="preserve">)</w:t>
      </w:r>
    </w:p>
    <w:p>
      <w:pPr>
        <w:pStyle w:val="Heading3"/>
      </w:pPr>
      <w:bookmarkStart w:id="122" w:name="random-effects"/>
      <w:r>
        <w:t xml:space="preserve">3.3 Random effects</w:t>
      </w:r>
      <w:bookmarkEnd w:id="122"/>
    </w:p>
    <w:p>
      <w:pPr>
        <w:pStyle w:val="FirstParagraph"/>
      </w:pPr>
      <w:r>
        <w:t xml:space="preserve">Models that incorporate both fixed- and random-effects terms in a linear predictor expression are often termed mixed effects models.</w:t>
      </w:r>
    </w:p>
    <w:p>
      <w:pPr>
        <w:pStyle w:val="Heading4"/>
      </w:pPr>
      <w:bookmarkStart w:id="123" w:name="single-random-effect"/>
      <w:r>
        <w:t xml:space="preserve">3.3.1 Single random effect</w:t>
      </w:r>
      <w:bookmarkEnd w:id="123"/>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24">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25" w:name="multiple-random-effects"/>
      <w:r>
        <w:t xml:space="preserve">3.3.2 Multiple random effects</w:t>
      </w:r>
      <w:bookmarkEnd w:id="125"/>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27" w:name="column-keys"/>
      <w:r>
        <w:t xml:space="preserve">4 Column keys</w:t>
      </w:r>
      <w:bookmarkEnd w:id="127"/>
    </w:p>
    <w:p>
      <w:pPr>
        <w:pStyle w:val="Heading3"/>
      </w:pPr>
      <w:bookmarkStart w:id="128" w:name="mascot"/>
      <w:r>
        <w:t xml:space="preserve">4.1 Mascot</w:t>
      </w:r>
      <w:bookmarkEnd w:id="128"/>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29" w:name="psms"/>
      <w:r>
        <w:t xml:space="preserve">4.1.1 PSMs</w:t>
      </w:r>
      <w:bookmarkEnd w:id="129"/>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30">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31" w:name="peptides"/>
      <w:r>
        <w:t xml:space="preserve">4.1.2 Peptides</w:t>
      </w:r>
      <w:bookmarkEnd w:id="131"/>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32" w:name="proteins"/>
      <w:r>
        <w:t xml:space="preserve">4.1.3 Proteins</w:t>
      </w:r>
      <w:bookmarkEnd w:id="132"/>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33" w:name="maxquant"/>
      <w:r>
        <w:t xml:space="preserve">4.2 MaxQuant</w:t>
      </w:r>
      <w:bookmarkEnd w:id="133"/>
    </w:p>
    <w:p>
      <w:pPr>
        <w:pStyle w:val="FirstParagraph"/>
      </w:pPr>
      <w:r>
        <w:t xml:space="preserve">MaxQuant files shares the same folder structure as those of Mascot.</w:t>
      </w:r>
    </w:p>
    <w:p>
      <w:pPr>
        <w:pStyle w:val="Heading4"/>
      </w:pPr>
      <w:bookmarkStart w:id="134" w:name="psms-1"/>
      <w:r>
        <w:t xml:space="preserve">4.2.1 PSMs</w:t>
      </w:r>
      <w:bookmarkEnd w:id="134"/>
    </w:p>
    <w:p>
      <w:pPr>
        <w:pStyle w:val="FirstParagraph"/>
      </w:pPr>
      <w:r>
        <w:t xml:space="preserve">The column keys are defined in</w:t>
      </w:r>
      <w:r>
        <w:t xml:space="preserve"> </w:t>
      </w:r>
      <w:hyperlink r:id="rId135">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35">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36" w:name="peptides-1"/>
      <w:r>
        <w:t xml:space="preserve">4.2.2 Peptides</w:t>
      </w:r>
      <w:bookmarkEnd w:id="136"/>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Cf. PSM keys</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t xml:space="preserve">Cf. PSM keys</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t xml:space="preserve">Cf. PSM keys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37" w:name="proteins-1"/>
      <w:r>
        <w:t xml:space="preserve">4.2.3 Proteins</w:t>
      </w:r>
      <w:bookmarkEnd w:id="137"/>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38" w:name="references"/>
      <w:r>
        <w:t xml:space="preserve">References</w:t>
      </w:r>
      <w:bookmarkEnd w:id="138"/>
    </w:p>
    <w:bookmarkStart w:id="143" w:name="refs"/>
    <w:bookmarkStart w:id="140"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39">
        <w:r>
          <w:rPr>
            <w:rStyle w:val="Hyperlink"/>
          </w:rPr>
          <w:t xml:space="preserve">https://doi.org/10.1038/s41596-018-0006-9</w:t>
        </w:r>
      </w:hyperlink>
      <w:r>
        <w:t xml:space="preserve">.</w:t>
      </w:r>
    </w:p>
    <w:bookmarkEnd w:id="140"/>
    <w:bookmarkStart w:id="142"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41">
        <w:r>
          <w:rPr>
            <w:rStyle w:val="Hyperlink"/>
          </w:rPr>
          <w:t xml:space="preserve">https://adv-r.hadley.nz/</w:t>
        </w:r>
      </w:hyperlink>
      <w:r>
        <w:t xml:space="preserve">.</w:t>
      </w:r>
    </w:p>
    <w:bookmarkEnd w:id="142"/>
    <w:bookmarkEnd w:id="1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8">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4">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9">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2">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3">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6">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9">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3">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117">
    <w:p>
      <w:pPr>
        <w:pStyle w:val="FootnoteText"/>
      </w:pPr>
      <w:r>
        <w:rPr>
          <w:rStyle w:val="FootnoteReference"/>
        </w:rPr>
        <w:footnoteRef/>
      </w:r>
      <w:r>
        <w:t xml:space="preserve"> </w:t>
      </w:r>
      <w:r>
        <w:t xml:space="preserve">I didn’t cut the mustard by coming up with good names. Please drop me a note if you think there are better ways to name them.</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jp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2" Target="media/rId82.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83" Target="media/rId83.png" /><Relationship Type="http://schemas.openxmlformats.org/officeDocument/2006/relationships/image" Id="rId93" Target="media/rId93.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126" Target="media/rId126.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hyperlink" Id="rId92" Target="cran.r-project.org/web/packages/RcppGreedySetCover/RcppGreedySetCover.pdf" TargetMode="External" /><Relationship Type="http://schemas.openxmlformats.org/officeDocument/2006/relationships/hyperlink" Id="rId94" Target="http://christophergandrud.github.io/networkD3/" TargetMode="External" /><Relationship Type="http://schemas.openxmlformats.org/officeDocument/2006/relationships/hyperlink" Id="rId124" Target="http://www.bodowinter.com/tutorial/bw_LME_tutorial2.pdf" TargetMode="External" /><Relationship Type="http://schemas.openxmlformats.org/officeDocument/2006/relationships/hyperlink" Id="rId135"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0" Target="http://www.matrixscience.com/help/csv_headers.html" TargetMode="External" /><Relationship Type="http://schemas.openxmlformats.org/officeDocument/2006/relationships/hyperlink" Id="rId104" Target="http://www.string-db.org" TargetMode="External" /><Relationship Type="http://schemas.openxmlformats.org/officeDocument/2006/relationships/hyperlink" Id="rId141" Target="https://adv-r.hadley.nz/" TargetMode="External" /><Relationship Type="http://schemas.openxmlformats.org/officeDocument/2006/relationships/hyperlink" Id="rId100" Target="https://cran.r-project.org/web/packages/NMF/vignettes/NMF-vignette.pdf" TargetMode="External" /><Relationship Type="http://schemas.openxmlformats.org/officeDocument/2006/relationships/hyperlink" Id="rId107"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5" Target="https://cytoscape.org" TargetMode="External" /><Relationship Type="http://schemas.openxmlformats.org/officeDocument/2006/relationships/hyperlink" Id="rId70" Target="https://desktop.github.com/" TargetMode="External" /><Relationship Type="http://schemas.openxmlformats.org/officeDocument/2006/relationships/hyperlink" Id="rId139"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95" Target="https://htmlpreview.github.io/?https://github.com/qzhang503/proteoQ/blob/master/gspa_network.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97"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92" Target="cran.r-project.org/web/packages/RcppGreedySetCover/RcppGreedySetCover.pdf" TargetMode="External" /><Relationship Type="http://schemas.openxmlformats.org/officeDocument/2006/relationships/hyperlink" Id="rId94" Target="http://christophergandrud.github.io/networkD3/" TargetMode="External" /><Relationship Type="http://schemas.openxmlformats.org/officeDocument/2006/relationships/hyperlink" Id="rId124" Target="http://www.bodowinter.com/tutorial/bw_LME_tutorial2.pdf" TargetMode="External" /><Relationship Type="http://schemas.openxmlformats.org/officeDocument/2006/relationships/hyperlink" Id="rId135"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0" Target="http://www.matrixscience.com/help/csv_headers.html" TargetMode="External" /><Relationship Type="http://schemas.openxmlformats.org/officeDocument/2006/relationships/hyperlink" Id="rId104" Target="http://www.string-db.org" TargetMode="External" /><Relationship Type="http://schemas.openxmlformats.org/officeDocument/2006/relationships/hyperlink" Id="rId141" Target="https://adv-r.hadley.nz/" TargetMode="External" /><Relationship Type="http://schemas.openxmlformats.org/officeDocument/2006/relationships/hyperlink" Id="rId100" Target="https://cran.r-project.org/web/packages/NMF/vignettes/NMF-vignette.pdf" TargetMode="External" /><Relationship Type="http://schemas.openxmlformats.org/officeDocument/2006/relationships/hyperlink" Id="rId107"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5" Target="https://cytoscape.org" TargetMode="External" /><Relationship Type="http://schemas.openxmlformats.org/officeDocument/2006/relationships/hyperlink" Id="rId70" Target="https://desktop.github.com/" TargetMode="External" /><Relationship Type="http://schemas.openxmlformats.org/officeDocument/2006/relationships/hyperlink" Id="rId139"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95" Target="https://htmlpreview.github.io/?https://github.com/qzhang503/proteoQ/blob/master/gspa_network.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97"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2019-10-25T17:13:06Z</dcterms:created>
  <dcterms:modified xsi:type="dcterms:W3CDTF">2019-10-25T17:13:06Z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2019-10-25</vt:lpwstr>
  </property>
  <property fmtid="{D5CDD505-2E9C-101B-9397-08002B2CF9AE}" pid="3" name="output">
    <vt:lpwstr/>
  </property>
  <property fmtid="{D5CDD505-2E9C-101B-9397-08002B2CF9AE}" pid="4" name="references">
    <vt:lpwstr/>
  </property>
</Properties>
</file>